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C96" w:rsidRDefault="004D3C96">
      <w:pPr>
        <w:jc w:val="center"/>
      </w:pPr>
      <w:bookmarkStart w:id="0" w:name="_GoBack"/>
      <w:bookmarkEnd w:id="0"/>
    </w:p>
    <w:p w:rsidR="004D3C96" w:rsidRDefault="004D3C96">
      <w:pPr>
        <w:jc w:val="center"/>
      </w:pPr>
    </w:p>
    <w:p w:rsidR="004D3C96" w:rsidRDefault="004D3C96">
      <w:pPr>
        <w:jc w:val="center"/>
      </w:pPr>
    </w:p>
    <w:p w:rsidR="004D3C96" w:rsidRDefault="004D3C96">
      <w:pPr>
        <w:jc w:val="center"/>
      </w:pPr>
    </w:p>
    <w:p w:rsidR="004D3C96" w:rsidRDefault="004D3C96">
      <w:pPr>
        <w:jc w:val="center"/>
      </w:pPr>
    </w:p>
    <w:p w:rsidR="004D3C96" w:rsidRDefault="004D3C96">
      <w:pPr>
        <w:jc w:val="center"/>
      </w:pPr>
    </w:p>
    <w:p w:rsidR="004D3C96" w:rsidRDefault="009C0671">
      <w:pPr>
        <w:jc w:val="center"/>
      </w:pPr>
      <w:r>
        <w:rPr>
          <w:rFonts w:ascii="Times New Roman" w:eastAsia="Times New Roman" w:hAnsi="Times New Roman" w:cs="Times New Roman"/>
          <w:sz w:val="24"/>
          <w:szCs w:val="24"/>
        </w:rPr>
        <w:t>Chicago 2040: A National Case Study of Mobility Planning</w:t>
      </w:r>
    </w:p>
    <w:p w:rsidR="004D3C96" w:rsidRDefault="009C0671">
      <w:pPr>
        <w:jc w:val="center"/>
      </w:pPr>
      <w:r>
        <w:rPr>
          <w:rFonts w:ascii="Times New Roman" w:eastAsia="Times New Roman" w:hAnsi="Times New Roman" w:cs="Times New Roman"/>
          <w:sz w:val="24"/>
          <w:szCs w:val="24"/>
        </w:rPr>
        <w:t>Emily Corban</w:t>
      </w:r>
    </w:p>
    <w:p w:rsidR="004D3C96" w:rsidRDefault="009C0671">
      <w:pPr>
        <w:jc w:val="center"/>
      </w:pPr>
      <w:r>
        <w:rPr>
          <w:rFonts w:ascii="Times New Roman" w:eastAsia="Times New Roman" w:hAnsi="Times New Roman" w:cs="Times New Roman"/>
          <w:sz w:val="24"/>
          <w:szCs w:val="24"/>
        </w:rPr>
        <w:t>The University of Memphis</w:t>
      </w:r>
    </w:p>
    <w:p w:rsidR="004D3C96" w:rsidRDefault="009C0671">
      <w:r>
        <w:br w:type="page"/>
      </w:r>
    </w:p>
    <w:p w:rsidR="004D3C96" w:rsidRDefault="004D3C96">
      <w:pPr>
        <w:jc w:val="center"/>
      </w:pPr>
    </w:p>
    <w:p w:rsidR="004D3C96" w:rsidRDefault="009C0671">
      <w:pPr>
        <w:jc w:val="center"/>
      </w:pPr>
      <w:r>
        <w:rPr>
          <w:rFonts w:ascii="Times New Roman" w:eastAsia="Times New Roman" w:hAnsi="Times New Roman" w:cs="Times New Roman"/>
          <w:sz w:val="24"/>
          <w:szCs w:val="24"/>
        </w:rPr>
        <w:t>Abstract</w:t>
      </w:r>
    </w:p>
    <w:p w:rsidR="004D3C96" w:rsidRDefault="004D3C96">
      <w:pPr>
        <w:jc w:val="center"/>
      </w:pPr>
    </w:p>
    <w:p w:rsidR="004D3C96" w:rsidRDefault="009C0671">
      <w:pPr>
        <w:spacing w:line="480" w:lineRule="auto"/>
      </w:pPr>
      <w:r>
        <w:rPr>
          <w:rFonts w:ascii="Times New Roman" w:eastAsia="Times New Roman" w:hAnsi="Times New Roman" w:cs="Times New Roman"/>
          <w:sz w:val="24"/>
          <w:szCs w:val="24"/>
        </w:rPr>
        <w:t xml:space="preserve">This paper explores issues in transportation planning and their resolutions within the Chicago, Illinois metropolitan area. </w:t>
      </w:r>
      <w:r>
        <w:rPr>
          <w:rFonts w:ascii="Times New Roman" w:eastAsia="Times New Roman" w:hAnsi="Times New Roman" w:cs="Times New Roman"/>
          <w:sz w:val="24"/>
          <w:szCs w:val="24"/>
        </w:rPr>
        <w:t xml:space="preserve">The case study is primarily focused on the creation of the Chicago Metropolitan Agency for Planning and the GO TO 2040 comprehensive regional plan as it creates and prioritizes implementation strategies for successful completion of policy recommendations. </w:t>
      </w:r>
      <w:r>
        <w:rPr>
          <w:rFonts w:ascii="Times New Roman" w:eastAsia="Times New Roman" w:hAnsi="Times New Roman" w:cs="Times New Roman"/>
          <w:sz w:val="24"/>
          <w:szCs w:val="24"/>
        </w:rPr>
        <w:t xml:space="preserve">The primary resource for this paper comes from the Chicago Metropolitan Planning Organization (2010) online documents regarding the GO TO 2040 plan. This paper </w:t>
      </w:r>
      <w:proofErr w:type="gramStart"/>
      <w:r>
        <w:rPr>
          <w:rFonts w:ascii="Times New Roman" w:eastAsia="Times New Roman" w:hAnsi="Times New Roman" w:cs="Times New Roman"/>
          <w:sz w:val="24"/>
          <w:szCs w:val="24"/>
        </w:rPr>
        <w:t>looks  to</w:t>
      </w:r>
      <w:proofErr w:type="gramEnd"/>
      <w:r>
        <w:rPr>
          <w:rFonts w:ascii="Times New Roman" w:eastAsia="Times New Roman" w:hAnsi="Times New Roman" w:cs="Times New Roman"/>
          <w:sz w:val="24"/>
          <w:szCs w:val="24"/>
        </w:rPr>
        <w:t xml:space="preserve"> Chicago as a guide on how to better plan long-term for mobility in Memphis, TN. </w:t>
      </w:r>
    </w:p>
    <w:p w:rsidR="004D3C96" w:rsidRDefault="009C0671">
      <w:pPr>
        <w:ind w:firstLine="720"/>
      </w:pPr>
      <w:proofErr w:type="gramStart"/>
      <w:r>
        <w:rPr>
          <w:rFonts w:ascii="Times New Roman" w:eastAsia="Times New Roman" w:hAnsi="Times New Roman" w:cs="Times New Roman"/>
          <w:i/>
          <w:sz w:val="24"/>
          <w:szCs w:val="24"/>
        </w:rPr>
        <w:t>keywo</w:t>
      </w:r>
      <w:r>
        <w:rPr>
          <w:rFonts w:ascii="Times New Roman" w:eastAsia="Times New Roman" w:hAnsi="Times New Roman" w:cs="Times New Roman"/>
          <w:i/>
          <w:sz w:val="24"/>
          <w:szCs w:val="24"/>
        </w:rPr>
        <w:t>rds</w:t>
      </w:r>
      <w:proofErr w:type="gramEnd"/>
      <w:r>
        <w:rPr>
          <w:rFonts w:ascii="Times New Roman" w:eastAsia="Times New Roman" w:hAnsi="Times New Roman" w:cs="Times New Roman"/>
          <w:sz w:val="24"/>
          <w:szCs w:val="24"/>
        </w:rPr>
        <w:t>: mobility, transportation, invest, commitment, implement</w:t>
      </w:r>
    </w:p>
    <w:p w:rsidR="004D3C96" w:rsidRDefault="004D3C96"/>
    <w:p w:rsidR="004D3C96" w:rsidRDefault="009C0671">
      <w:r>
        <w:br w:type="page"/>
      </w:r>
    </w:p>
    <w:p w:rsidR="004D3C96" w:rsidRDefault="004D3C96"/>
    <w:p w:rsidR="004D3C96" w:rsidRDefault="009C0671">
      <w:r>
        <w:rPr>
          <w:rFonts w:ascii="Times New Roman" w:eastAsia="Times New Roman" w:hAnsi="Times New Roman" w:cs="Times New Roman"/>
          <w:b/>
          <w:sz w:val="24"/>
          <w:szCs w:val="24"/>
        </w:rPr>
        <w:t>Background:</w:t>
      </w:r>
    </w:p>
    <w:p w:rsidR="004D3C96" w:rsidRDefault="009C0671">
      <w:pPr>
        <w:spacing w:line="480" w:lineRule="auto"/>
        <w:ind w:firstLine="720"/>
      </w:pPr>
      <w:r>
        <w:rPr>
          <w:rFonts w:ascii="Times New Roman" w:eastAsia="Times New Roman" w:hAnsi="Times New Roman" w:cs="Times New Roman"/>
          <w:sz w:val="24"/>
          <w:szCs w:val="24"/>
        </w:rPr>
        <w:t>Chicago is located in the Midwestern U.S. and the Great Lakes Region, The city is located in northeastern Illinois on the southwestern shores of Lake Michigan. It rests on a conti</w:t>
      </w:r>
      <w:r>
        <w:rPr>
          <w:rFonts w:ascii="Times New Roman" w:eastAsia="Times New Roman" w:hAnsi="Times New Roman" w:cs="Times New Roman"/>
          <w:sz w:val="24"/>
          <w:szCs w:val="24"/>
        </w:rPr>
        <w:t xml:space="preserve">nental divide, connecting the Mississippi River and the Great Lakes watersheds including the Chicago and Calumet River.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history is closely tied to proximity to Lake Michigan where waterborne cargo was the preferred method of shipping. The city origina</w:t>
      </w:r>
      <w:r>
        <w:rPr>
          <w:rFonts w:ascii="Times New Roman" w:eastAsia="Times New Roman" w:hAnsi="Times New Roman" w:cs="Times New Roman"/>
          <w:sz w:val="24"/>
          <w:szCs w:val="24"/>
        </w:rPr>
        <w:t xml:space="preserve">lly developed around the mouth of the Chicago </w:t>
      </w:r>
      <w:proofErr w:type="gramStart"/>
      <w:r>
        <w:rPr>
          <w:rFonts w:ascii="Times New Roman" w:eastAsia="Times New Roman" w:hAnsi="Times New Roman" w:cs="Times New Roman"/>
          <w:sz w:val="24"/>
          <w:szCs w:val="24"/>
        </w:rPr>
        <w:t>river</w:t>
      </w:r>
      <w:proofErr w:type="gramEnd"/>
      <w:r>
        <w:rPr>
          <w:rFonts w:ascii="Times New Roman" w:eastAsia="Times New Roman" w:hAnsi="Times New Roman" w:cs="Times New Roman"/>
          <w:sz w:val="24"/>
          <w:szCs w:val="24"/>
        </w:rPr>
        <w:t xml:space="preserve"> and its transportation sectors followed suit. </w:t>
      </w:r>
    </w:p>
    <w:p w:rsidR="004D3C96" w:rsidRDefault="009C0671">
      <w:pPr>
        <w:spacing w:line="480" w:lineRule="auto"/>
        <w:ind w:firstLine="720"/>
      </w:pPr>
      <w:r>
        <w:rPr>
          <w:rFonts w:ascii="Times New Roman" w:eastAsia="Times New Roman" w:hAnsi="Times New Roman" w:cs="Times New Roman"/>
          <w:sz w:val="24"/>
          <w:szCs w:val="24"/>
        </w:rPr>
        <w:t>The Chicago GO TO 2040 Comprehensive Regional Plan was developed by the Chicago Metropolitan Agency for Planning in 2010. The CMAP is the official regional m</w:t>
      </w:r>
      <w:r>
        <w:rPr>
          <w:rFonts w:ascii="Times New Roman" w:eastAsia="Times New Roman" w:hAnsi="Times New Roman" w:cs="Times New Roman"/>
          <w:sz w:val="24"/>
          <w:szCs w:val="24"/>
        </w:rPr>
        <w:t xml:space="preserve">etropolitan planning organization for the northeastern counties: Cook, </w:t>
      </w:r>
      <w:proofErr w:type="spellStart"/>
      <w:r>
        <w:rPr>
          <w:rFonts w:ascii="Times New Roman" w:eastAsia="Times New Roman" w:hAnsi="Times New Roman" w:cs="Times New Roman"/>
          <w:sz w:val="24"/>
          <w:szCs w:val="24"/>
        </w:rPr>
        <w:t>DuPage</w:t>
      </w:r>
      <w:proofErr w:type="spellEnd"/>
      <w:r>
        <w:rPr>
          <w:rFonts w:ascii="Times New Roman" w:eastAsia="Times New Roman" w:hAnsi="Times New Roman" w:cs="Times New Roman"/>
          <w:sz w:val="24"/>
          <w:szCs w:val="24"/>
        </w:rPr>
        <w:t>, Kane, Kendall, Lake, McHenry, and Will. They both develop and guide the implementation of the plan which had its roots in 2005 with the creation of the CMAP. The CMAP was create</w:t>
      </w:r>
      <w:r>
        <w:rPr>
          <w:rFonts w:ascii="Times New Roman" w:eastAsia="Times New Roman" w:hAnsi="Times New Roman" w:cs="Times New Roman"/>
          <w:sz w:val="24"/>
          <w:szCs w:val="24"/>
        </w:rPr>
        <w:t xml:space="preserve">d in 2005 by Public Act 094-0510 which merged the Chicago Area Transportation Study and the Northeastern Metropolitan Planning Organization (MPO). </w:t>
      </w:r>
      <w:r>
        <w:rPr>
          <w:rFonts w:ascii="Times New Roman" w:eastAsia="Times New Roman" w:hAnsi="Times New Roman" w:cs="Times New Roman"/>
          <w:color w:val="252525"/>
          <w:sz w:val="24"/>
          <w:szCs w:val="24"/>
          <w:highlight w:val="white"/>
        </w:rPr>
        <w:t>The State of Illinois legislation that created CMAP gave the agency the task of integrating the previously se</w:t>
      </w:r>
      <w:r>
        <w:rPr>
          <w:rFonts w:ascii="Times New Roman" w:eastAsia="Times New Roman" w:hAnsi="Times New Roman" w:cs="Times New Roman"/>
          <w:color w:val="252525"/>
          <w:sz w:val="24"/>
          <w:szCs w:val="24"/>
          <w:highlight w:val="white"/>
        </w:rPr>
        <w:t>parate topics of land use and transportation into one agency that would protect natural resources, improve mobility, and minimize traffic congestion in the seven-county region.  The CMAP is responsible for developing the region’s transportation plan that i</w:t>
      </w:r>
      <w:r>
        <w:rPr>
          <w:rFonts w:ascii="Times New Roman" w:eastAsia="Times New Roman" w:hAnsi="Times New Roman" w:cs="Times New Roman"/>
          <w:color w:val="252525"/>
          <w:sz w:val="24"/>
          <w:szCs w:val="24"/>
          <w:highlight w:val="white"/>
        </w:rPr>
        <w:t>ntegrates transportation with land use, housing, economic development, open space, the environment, and other quality of life issues. The plan must be updated every four years and requires public participation and separate transportation improvement docume</w:t>
      </w:r>
      <w:r>
        <w:rPr>
          <w:rFonts w:ascii="Times New Roman" w:eastAsia="Times New Roman" w:hAnsi="Times New Roman" w:cs="Times New Roman"/>
          <w:color w:val="252525"/>
          <w:sz w:val="24"/>
          <w:szCs w:val="24"/>
          <w:highlight w:val="white"/>
        </w:rPr>
        <w:t xml:space="preserve">nts. The graphic below details the structure of the CMAP in government. </w:t>
      </w:r>
    </w:p>
    <w:p w:rsidR="004D3C96" w:rsidRDefault="004D3C96">
      <w:pPr>
        <w:spacing w:line="480" w:lineRule="auto"/>
        <w:ind w:firstLine="720"/>
      </w:pPr>
    </w:p>
    <w:p w:rsidR="004D3C96" w:rsidRDefault="004D3C96">
      <w:pPr>
        <w:spacing w:line="480" w:lineRule="auto"/>
        <w:ind w:firstLine="720"/>
      </w:pPr>
    </w:p>
    <w:p w:rsidR="004D3C96" w:rsidRDefault="009C0671">
      <w:pPr>
        <w:spacing w:line="480" w:lineRule="auto"/>
        <w:ind w:firstLine="720"/>
      </w:pPr>
      <w:r>
        <w:rPr>
          <w:rFonts w:ascii="Times New Roman" w:eastAsia="Times New Roman" w:hAnsi="Times New Roman" w:cs="Times New Roman"/>
          <w:sz w:val="24"/>
          <w:szCs w:val="24"/>
        </w:rPr>
        <w:t xml:space="preserve"> GO TO 2040 is the region’s official comprehensive plan and includes the sections Livable Communities, Human Capital, Efficient Governance, Regional Mobility, and Context and Best P</w:t>
      </w:r>
      <w:r>
        <w:rPr>
          <w:rFonts w:ascii="Times New Roman" w:eastAsia="Times New Roman" w:hAnsi="Times New Roman" w:cs="Times New Roman"/>
          <w:sz w:val="24"/>
          <w:szCs w:val="24"/>
        </w:rPr>
        <w:t xml:space="preserve">ractices. The section that focuses on transportation specifically is titled Regional Mobility. </w:t>
      </w:r>
      <w:r>
        <w:rPr>
          <w:noProof/>
        </w:rPr>
        <w:drawing>
          <wp:anchor distT="114300" distB="114300" distL="114300" distR="114300" simplePos="0" relativeHeight="251658240" behindDoc="0" locked="0" layoutInCell="0" hidden="0" allowOverlap="0">
            <wp:simplePos x="0" y="0"/>
            <wp:positionH relativeFrom="margin">
              <wp:posOffset>809625</wp:posOffset>
            </wp:positionH>
            <wp:positionV relativeFrom="paragraph">
              <wp:posOffset>0</wp:posOffset>
            </wp:positionV>
            <wp:extent cx="3948113" cy="2638357"/>
            <wp:effectExtent l="0" t="0" r="0" b="0"/>
            <wp:wrapTopAndBottom distT="114300" distB="114300"/>
            <wp:docPr id="1" name="image02.jpg" descr="cmap structure.jpg"/>
            <wp:cNvGraphicFramePr/>
            <a:graphic xmlns:a="http://schemas.openxmlformats.org/drawingml/2006/main">
              <a:graphicData uri="http://schemas.openxmlformats.org/drawingml/2006/picture">
                <pic:pic xmlns:pic="http://schemas.openxmlformats.org/drawingml/2006/picture">
                  <pic:nvPicPr>
                    <pic:cNvPr id="0" name="image02.jpg" descr="cmap structure.jpg"/>
                    <pic:cNvPicPr preferRelativeResize="0"/>
                  </pic:nvPicPr>
                  <pic:blipFill>
                    <a:blip r:embed="rId7"/>
                    <a:srcRect/>
                    <a:stretch>
                      <a:fillRect/>
                    </a:stretch>
                  </pic:blipFill>
                  <pic:spPr>
                    <a:xfrm>
                      <a:off x="0" y="0"/>
                      <a:ext cx="3948113" cy="2638357"/>
                    </a:xfrm>
                    <a:prstGeom prst="rect">
                      <a:avLst/>
                    </a:prstGeom>
                    <a:ln/>
                  </pic:spPr>
                </pic:pic>
              </a:graphicData>
            </a:graphic>
          </wp:anchor>
        </w:drawing>
      </w:r>
    </w:p>
    <w:p w:rsidR="004D3C96" w:rsidRDefault="009C0671">
      <w:pPr>
        <w:spacing w:line="480" w:lineRule="auto"/>
        <w:ind w:firstLine="720"/>
      </w:pPr>
      <w:r>
        <w:rPr>
          <w:rFonts w:ascii="Times New Roman" w:eastAsia="Times New Roman" w:hAnsi="Times New Roman" w:cs="Times New Roman"/>
          <w:sz w:val="24"/>
          <w:szCs w:val="24"/>
        </w:rPr>
        <w:t>However, many of aspects surrounding transportation are integrated into other sections as it impacts social justice, environmental sustainability, economic dev</w:t>
      </w:r>
      <w:r>
        <w:rPr>
          <w:rFonts w:ascii="Times New Roman" w:eastAsia="Times New Roman" w:hAnsi="Times New Roman" w:cs="Times New Roman"/>
          <w:sz w:val="24"/>
          <w:szCs w:val="24"/>
        </w:rPr>
        <w:t>elopment, and public health. The plan itself consists of 417 pages, highlighted by four themed chapters and 12 high-priority recommendation sections. Each recommendation section includes Implementation Action Tables that describe strategic steps that are n</w:t>
      </w:r>
      <w:r>
        <w:rPr>
          <w:rFonts w:ascii="Times New Roman" w:eastAsia="Times New Roman" w:hAnsi="Times New Roman" w:cs="Times New Roman"/>
          <w:sz w:val="24"/>
          <w:szCs w:val="24"/>
        </w:rPr>
        <w:t xml:space="preserve">eeded. The regional mobility section includes an additional section that overviews the capital investment that are recommended. </w:t>
      </w:r>
    </w:p>
    <w:p w:rsidR="004D3C96" w:rsidRDefault="009C0671">
      <w:r>
        <w:rPr>
          <w:noProof/>
        </w:rPr>
        <w:drawing>
          <wp:anchor distT="114300" distB="114300" distL="114300" distR="114300" simplePos="0" relativeHeight="251659264" behindDoc="0" locked="0" layoutInCell="0" hidden="0" allowOverlap="0">
            <wp:simplePos x="0" y="0"/>
            <wp:positionH relativeFrom="margin">
              <wp:posOffset>952500</wp:posOffset>
            </wp:positionH>
            <wp:positionV relativeFrom="paragraph">
              <wp:posOffset>57150</wp:posOffset>
            </wp:positionV>
            <wp:extent cx="3095625" cy="742950"/>
            <wp:effectExtent l="0" t="0" r="0" b="0"/>
            <wp:wrapTopAndBottom distT="114300" distB="114300"/>
            <wp:docPr id="4" name="image07.png" descr="income.png"/>
            <wp:cNvGraphicFramePr/>
            <a:graphic xmlns:a="http://schemas.openxmlformats.org/drawingml/2006/main">
              <a:graphicData uri="http://schemas.openxmlformats.org/drawingml/2006/picture">
                <pic:pic xmlns:pic="http://schemas.openxmlformats.org/drawingml/2006/picture">
                  <pic:nvPicPr>
                    <pic:cNvPr id="0" name="image07.png" descr="income.png"/>
                    <pic:cNvPicPr preferRelativeResize="0"/>
                  </pic:nvPicPr>
                  <pic:blipFill>
                    <a:blip r:embed="rId8"/>
                    <a:srcRect/>
                    <a:stretch>
                      <a:fillRect/>
                    </a:stretch>
                  </pic:blipFill>
                  <pic:spPr>
                    <a:xfrm>
                      <a:off x="0" y="0"/>
                      <a:ext cx="3095625" cy="742950"/>
                    </a:xfrm>
                    <a:prstGeom prst="rect">
                      <a:avLst/>
                    </a:prstGeom>
                    <a:ln/>
                  </pic:spPr>
                </pic:pic>
              </a:graphicData>
            </a:graphic>
          </wp:anchor>
        </w:drawing>
      </w:r>
    </w:p>
    <w:p w:rsidR="004D3C96" w:rsidRDefault="004D3C96"/>
    <w:p w:rsidR="004D3C96" w:rsidRDefault="004D3C96"/>
    <w:p w:rsidR="004D3C96" w:rsidRDefault="009C0671">
      <w:r>
        <w:rPr>
          <w:rFonts w:ascii="Times New Roman" w:eastAsia="Times New Roman" w:hAnsi="Times New Roman" w:cs="Times New Roman"/>
          <w:b/>
          <w:sz w:val="24"/>
          <w:szCs w:val="24"/>
        </w:rPr>
        <w:t>The Plan:</w:t>
      </w:r>
    </w:p>
    <w:p w:rsidR="004D3C96" w:rsidRDefault="009C0671">
      <w:pPr>
        <w:spacing w:line="480" w:lineRule="auto"/>
        <w:ind w:firstLine="720"/>
      </w:pPr>
      <w:r>
        <w:rPr>
          <w:rFonts w:ascii="Times New Roman" w:eastAsia="Times New Roman" w:hAnsi="Times New Roman" w:cs="Times New Roman"/>
          <w:sz w:val="24"/>
          <w:szCs w:val="24"/>
        </w:rPr>
        <w:t xml:space="preserve">The plan is operated under the authorizing legislation Public Act 095-0677. The development of the plan started in 2007 with the creation of a regional vision and extensive input from public meetings and outreach.  </w:t>
      </w:r>
      <w:proofErr w:type="gramStart"/>
      <w:r>
        <w:rPr>
          <w:rFonts w:ascii="Times New Roman" w:eastAsia="Times New Roman" w:hAnsi="Times New Roman" w:cs="Times New Roman"/>
          <w:sz w:val="24"/>
          <w:szCs w:val="24"/>
        </w:rPr>
        <w:t>The  CMAP</w:t>
      </w:r>
      <w:proofErr w:type="gramEnd"/>
      <w:r>
        <w:rPr>
          <w:rFonts w:ascii="Times New Roman" w:eastAsia="Times New Roman" w:hAnsi="Times New Roman" w:cs="Times New Roman"/>
          <w:sz w:val="24"/>
          <w:szCs w:val="24"/>
        </w:rPr>
        <w:t xml:space="preserve"> produced a preferred scenario t</w:t>
      </w:r>
      <w:r>
        <w:rPr>
          <w:rFonts w:ascii="Times New Roman" w:eastAsia="Times New Roman" w:hAnsi="Times New Roman" w:cs="Times New Roman"/>
          <w:sz w:val="24"/>
          <w:szCs w:val="24"/>
        </w:rPr>
        <w:t xml:space="preserve">hat was published in 2010 and based in part on forecasts for the region in 2040. The forecast was developed through the creation of a “reference scenario” based on base-year 2010 population and land use </w:t>
      </w:r>
      <w:proofErr w:type="spellStart"/>
      <w:r>
        <w:rPr>
          <w:rFonts w:ascii="Times New Roman" w:eastAsia="Times New Roman" w:hAnsi="Times New Roman" w:cs="Times New Roman"/>
          <w:sz w:val="24"/>
          <w:szCs w:val="24"/>
        </w:rPr>
        <w:t>trends.Population</w:t>
      </w:r>
      <w:proofErr w:type="spellEnd"/>
      <w:r>
        <w:rPr>
          <w:rFonts w:ascii="Times New Roman" w:eastAsia="Times New Roman" w:hAnsi="Times New Roman" w:cs="Times New Roman"/>
          <w:sz w:val="24"/>
          <w:szCs w:val="24"/>
        </w:rPr>
        <w:t xml:space="preserve"> in households for the region in 201</w:t>
      </w:r>
      <w:r>
        <w:rPr>
          <w:rFonts w:ascii="Times New Roman" w:eastAsia="Times New Roman" w:hAnsi="Times New Roman" w:cs="Times New Roman"/>
          <w:sz w:val="24"/>
          <w:szCs w:val="24"/>
        </w:rPr>
        <w:t xml:space="preserve">0 was 8,291,066;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scenario projects the population to be 10,662,633 in 2040, a 28.6% change. The CMAP produces an annual work plan and budget document that guides the current fiscal year’s projects and they produce an annual report summarizing implement</w:t>
      </w:r>
      <w:r>
        <w:rPr>
          <w:rFonts w:ascii="Times New Roman" w:eastAsia="Times New Roman" w:hAnsi="Times New Roman" w:cs="Times New Roman"/>
          <w:sz w:val="24"/>
          <w:szCs w:val="24"/>
        </w:rPr>
        <w:t>ation each year. The Regional mobility section addresses the region’s transportation system, crucial for economic development and quality of life. The recommendation areas include: invest strategically in transportation, increase commitment to public trans</w:t>
      </w:r>
      <w:r>
        <w:rPr>
          <w:rFonts w:ascii="Times New Roman" w:eastAsia="Times New Roman" w:hAnsi="Times New Roman" w:cs="Times New Roman"/>
          <w:sz w:val="24"/>
          <w:szCs w:val="24"/>
        </w:rPr>
        <w:t>it, and create a more efficient network. The graphic below depicts the land use pattern of growth for the Chicago MSA.</w:t>
      </w:r>
      <w:r>
        <w:rPr>
          <w:noProof/>
        </w:rPr>
        <w:drawing>
          <wp:anchor distT="114300" distB="114300" distL="114300" distR="114300" simplePos="0" relativeHeight="251660288" behindDoc="0" locked="0" layoutInCell="0" hidden="0" allowOverlap="0">
            <wp:simplePos x="0" y="0"/>
            <wp:positionH relativeFrom="margin">
              <wp:posOffset>781050</wp:posOffset>
            </wp:positionH>
            <wp:positionV relativeFrom="paragraph">
              <wp:posOffset>4543425</wp:posOffset>
            </wp:positionV>
            <wp:extent cx="3461472" cy="1757363"/>
            <wp:effectExtent l="0" t="0" r="0" b="0"/>
            <wp:wrapTopAndBottom distT="114300" distB="114300"/>
            <wp:docPr id="3" name="image06.png" descr="regional development.png"/>
            <wp:cNvGraphicFramePr/>
            <a:graphic xmlns:a="http://schemas.openxmlformats.org/drawingml/2006/main">
              <a:graphicData uri="http://schemas.openxmlformats.org/drawingml/2006/picture">
                <pic:pic xmlns:pic="http://schemas.openxmlformats.org/drawingml/2006/picture">
                  <pic:nvPicPr>
                    <pic:cNvPr id="0" name="image06.png" descr="regional development.png"/>
                    <pic:cNvPicPr preferRelativeResize="0"/>
                  </pic:nvPicPr>
                  <pic:blipFill>
                    <a:blip r:embed="rId9"/>
                    <a:srcRect/>
                    <a:stretch>
                      <a:fillRect/>
                    </a:stretch>
                  </pic:blipFill>
                  <pic:spPr>
                    <a:xfrm>
                      <a:off x="0" y="0"/>
                      <a:ext cx="3461472" cy="1757363"/>
                    </a:xfrm>
                    <a:prstGeom prst="rect">
                      <a:avLst/>
                    </a:prstGeom>
                    <a:ln/>
                  </pic:spPr>
                </pic:pic>
              </a:graphicData>
            </a:graphic>
          </wp:anchor>
        </w:drawing>
      </w:r>
    </w:p>
    <w:p w:rsidR="004D3C96" w:rsidRDefault="004D3C96"/>
    <w:p w:rsidR="004D3C96" w:rsidRDefault="004D3C96"/>
    <w:p w:rsidR="004D3C96" w:rsidRDefault="009C0671">
      <w:r>
        <w:rPr>
          <w:rFonts w:ascii="Times New Roman" w:eastAsia="Times New Roman" w:hAnsi="Times New Roman" w:cs="Times New Roman"/>
          <w:b/>
          <w:i/>
          <w:sz w:val="24"/>
          <w:szCs w:val="24"/>
        </w:rPr>
        <w:t>Invest Strategically in Transportation</w:t>
      </w:r>
    </w:p>
    <w:p w:rsidR="004D3C96" w:rsidRDefault="009C0671">
      <w:pPr>
        <w:ind w:firstLine="720"/>
      </w:pPr>
      <w:r>
        <w:rPr>
          <w:rFonts w:ascii="Times New Roman" w:eastAsia="Times New Roman" w:hAnsi="Times New Roman" w:cs="Times New Roman"/>
          <w:sz w:val="24"/>
          <w:szCs w:val="24"/>
        </w:rPr>
        <w:t>The plan calls on the federal government, the state of Illinois, transit agencies, and local go</w:t>
      </w:r>
      <w:r>
        <w:rPr>
          <w:rFonts w:ascii="Times New Roman" w:eastAsia="Times New Roman" w:hAnsi="Times New Roman" w:cs="Times New Roman"/>
          <w:sz w:val="24"/>
          <w:szCs w:val="24"/>
        </w:rPr>
        <w:t xml:space="preserve">vernments to develop innovative financing to support a transportation system equipped for the new century. </w:t>
      </w:r>
    </w:p>
    <w:p w:rsidR="004D3C96" w:rsidRDefault="009C0671">
      <w:r>
        <w:rPr>
          <w:rFonts w:ascii="Times New Roman" w:eastAsia="Times New Roman" w:hAnsi="Times New Roman" w:cs="Times New Roman"/>
          <w:sz w:val="24"/>
          <w:szCs w:val="24"/>
        </w:rPr>
        <w:t xml:space="preserve">The plan focuses on 5 implementation areas for investing strategically in transportation: </w:t>
      </w:r>
    </w:p>
    <w:p w:rsidR="004D3C96" w:rsidRDefault="004D3C96"/>
    <w:p w:rsidR="004D3C96" w:rsidRDefault="009C067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Cost and Investment Efficiencies</w:t>
      </w:r>
    </w:p>
    <w:p w:rsidR="004D3C96" w:rsidRDefault="009C0671">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 evaluation</w:t>
      </w:r>
      <w:r>
        <w:rPr>
          <w:rFonts w:ascii="Times New Roman" w:eastAsia="Times New Roman" w:hAnsi="Times New Roman" w:cs="Times New Roman"/>
          <w:sz w:val="24"/>
          <w:szCs w:val="24"/>
        </w:rPr>
        <w:t xml:space="preserve"> criteria should be improved, performance criteria should guide how funds are allocated, and allocations should be based on need</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Prioritize maintenance and modernization projects when making investment decisions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utilize transparent evaluation c</w:t>
      </w:r>
      <w:r>
        <w:rPr>
          <w:rFonts w:ascii="Times New Roman" w:eastAsia="Times New Roman" w:hAnsi="Times New Roman" w:cs="Times New Roman"/>
          <w:sz w:val="24"/>
          <w:szCs w:val="24"/>
        </w:rPr>
        <w:t>riteria for the selection of projects, particularly ones adding capacity</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region’s transportation projects are based on the above performance measures and align with the priorities of GO TO 2040</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decision making models used for evalua</w:t>
      </w:r>
      <w:r>
        <w:rPr>
          <w:rFonts w:ascii="Times New Roman" w:eastAsia="Times New Roman" w:hAnsi="Times New Roman" w:cs="Times New Roman"/>
          <w:sz w:val="24"/>
          <w:szCs w:val="24"/>
        </w:rPr>
        <w:t>ting transportation projects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methods and technologies to improve operational efficiency of the transit system</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Revise the federal “New Starts” program for transit</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regional infrastructure funding programs for plan implementation</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End the “55-45” split for Illinois transportation dollars and make investment decisions based on metrics of need</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Revise the process of state capital program funding in Illinois</w:t>
      </w:r>
    </w:p>
    <w:p w:rsidR="004D3C96" w:rsidRDefault="004D3C96">
      <w:pPr>
        <w:ind w:left="1440"/>
      </w:pPr>
    </w:p>
    <w:p w:rsidR="004D3C96" w:rsidRDefault="009C067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Motor Fuel Taxes in the Short Term, and Institute a Replacement in th</w:t>
      </w:r>
      <w:r>
        <w:rPr>
          <w:rFonts w:ascii="Times New Roman" w:eastAsia="Times New Roman" w:hAnsi="Times New Roman" w:cs="Times New Roman"/>
          <w:sz w:val="24"/>
          <w:szCs w:val="24"/>
        </w:rPr>
        <w:t>e Long Term</w:t>
      </w:r>
    </w:p>
    <w:p w:rsidR="004D3C96" w:rsidRDefault="009C0671">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levels should be increased from the existing 19 cents/gallon to 27 cents/gallon and index it to keep pace with inflation</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an eight cent increase of the state’s motor fuel tax and index it to inflation</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an increase of the federal motor fuel tax and index it to inflation rate</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detailed study of potential gas tax replacement revenue mechanisms, particularly “pay-as-you-drive” fees like a vehicle miles traveled fee</w:t>
      </w:r>
    </w:p>
    <w:p w:rsidR="004D3C96" w:rsidRDefault="004D3C96">
      <w:pPr>
        <w:ind w:left="1440"/>
      </w:pPr>
    </w:p>
    <w:p w:rsidR="004D3C96" w:rsidRDefault="009C067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Congestion Pr</w:t>
      </w:r>
      <w:r>
        <w:rPr>
          <w:rFonts w:ascii="Times New Roman" w:eastAsia="Times New Roman" w:hAnsi="Times New Roman" w:cs="Times New Roman"/>
          <w:sz w:val="24"/>
          <w:szCs w:val="24"/>
        </w:rPr>
        <w:t>icing on Select Road Segments</w:t>
      </w:r>
    </w:p>
    <w:p w:rsidR="004D3C96" w:rsidRDefault="009C0671">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supply-and-demand economic principles can reduce congestion by providing an incentive to alter travel behavior</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operational study of the potential congestion pricing projects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congestion pricing pilot pr</w:t>
      </w:r>
      <w:r>
        <w:rPr>
          <w:rFonts w:ascii="Times New Roman" w:eastAsia="Times New Roman" w:hAnsi="Times New Roman" w:cs="Times New Roman"/>
          <w:sz w:val="24"/>
          <w:szCs w:val="24"/>
        </w:rPr>
        <w:t>ojects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 supportive transit projects with revenues generated</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 arterial improvements with revenues generated</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further study of congestion pricing and managed lanes strategies with special attention paid to major capital projects</w:t>
      </w:r>
    </w:p>
    <w:p w:rsidR="004D3C96" w:rsidRDefault="004D3C96">
      <w:pPr>
        <w:ind w:left="1440"/>
      </w:pPr>
    </w:p>
    <w:p w:rsidR="004D3C96" w:rsidRDefault="009C067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Pri</w:t>
      </w:r>
      <w:r>
        <w:rPr>
          <w:rFonts w:ascii="Times New Roman" w:eastAsia="Times New Roman" w:hAnsi="Times New Roman" w:cs="Times New Roman"/>
          <w:sz w:val="24"/>
          <w:szCs w:val="24"/>
        </w:rPr>
        <w:t>cing for Parking</w:t>
      </w:r>
    </w:p>
    <w:p w:rsidR="004D3C96" w:rsidRDefault="009C0671">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free</w:t>
      </w:r>
      <w:proofErr w:type="gramEnd"/>
      <w:r>
        <w:rPr>
          <w:rFonts w:ascii="Times New Roman" w:eastAsia="Times New Roman" w:hAnsi="Times New Roman" w:cs="Times New Roman"/>
          <w:sz w:val="24"/>
          <w:szCs w:val="24"/>
        </w:rPr>
        <w:t xml:space="preserve">” parking perpetuates automobile dependency, increases congestion, and leads to economic </w:t>
      </w:r>
      <w:proofErr w:type="spellStart"/>
      <w:r>
        <w:rPr>
          <w:rFonts w:ascii="Times New Roman" w:eastAsia="Times New Roman" w:hAnsi="Times New Roman" w:cs="Times New Roman"/>
          <w:sz w:val="24"/>
          <w:szCs w:val="24"/>
        </w:rPr>
        <w:t>inefficiencies.Pricing</w:t>
      </w:r>
      <w:proofErr w:type="spellEnd"/>
      <w:r>
        <w:rPr>
          <w:rFonts w:ascii="Times New Roman" w:eastAsia="Times New Roman" w:hAnsi="Times New Roman" w:cs="Times New Roman"/>
          <w:sz w:val="24"/>
          <w:szCs w:val="24"/>
        </w:rPr>
        <w:t xml:space="preserve"> and related strategies can manage demand, promote efficient use of parking, and help fund needed improvements to existing </w:t>
      </w:r>
      <w:r>
        <w:rPr>
          <w:rFonts w:ascii="Times New Roman" w:eastAsia="Times New Roman" w:hAnsi="Times New Roman" w:cs="Times New Roman"/>
          <w:sz w:val="24"/>
          <w:szCs w:val="24"/>
        </w:rPr>
        <w:t>transit. Some economists have suggested that municipalities charge a price that will ensure approximately 15% of parking spaces are always vacant.</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detailed studies on potential parking pricing projects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parking pricing, including variable </w:t>
      </w:r>
      <w:r>
        <w:rPr>
          <w:rFonts w:ascii="Times New Roman" w:eastAsia="Times New Roman" w:hAnsi="Times New Roman" w:cs="Times New Roman"/>
          <w:sz w:val="24"/>
          <w:szCs w:val="24"/>
        </w:rPr>
        <w:t>pricing parking projects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sub-regional planning studies to include a parking pricing component</w:t>
      </w:r>
    </w:p>
    <w:p w:rsidR="004D3C96" w:rsidRDefault="004D3C96">
      <w:pPr>
        <w:ind w:left="1440"/>
      </w:pPr>
    </w:p>
    <w:p w:rsidR="004D3C96" w:rsidRDefault="009C067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Other Innovative Finance Mechanisms</w:t>
      </w:r>
    </w:p>
    <w:p w:rsidR="004D3C96" w:rsidRDefault="009C0671">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Pursue appropriate public private partnerships.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Pass general state enabling legislation for public private pa</w:t>
      </w:r>
      <w:r>
        <w:rPr>
          <w:rFonts w:ascii="Times New Roman" w:eastAsia="Times New Roman" w:hAnsi="Times New Roman" w:cs="Times New Roman"/>
          <w:sz w:val="24"/>
          <w:szCs w:val="24"/>
        </w:rPr>
        <w:t>rtnerships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objective analysis of potential projects and strategies</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public private partnerships in project development</w:t>
      </w:r>
    </w:p>
    <w:p w:rsidR="004D3C96" w:rsidRDefault="009C0671">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detailed value capture studies </w:t>
      </w:r>
    </w:p>
    <w:p w:rsidR="004D3C96" w:rsidRDefault="004D3C96"/>
    <w:p w:rsidR="004D3C96" w:rsidRDefault="009C0671">
      <w:r>
        <w:rPr>
          <w:rFonts w:ascii="Times New Roman" w:eastAsia="Times New Roman" w:hAnsi="Times New Roman" w:cs="Times New Roman"/>
          <w:b/>
          <w:i/>
          <w:sz w:val="24"/>
          <w:szCs w:val="24"/>
        </w:rPr>
        <w:t>Increase Commitment to Public Transit</w:t>
      </w:r>
    </w:p>
    <w:p w:rsidR="004D3C96" w:rsidRDefault="004D3C96"/>
    <w:p w:rsidR="004D3C96" w:rsidRDefault="009C0671">
      <w:r>
        <w:rPr>
          <w:rFonts w:ascii="Times New Roman" w:eastAsia="Times New Roman" w:hAnsi="Times New Roman" w:cs="Times New Roman"/>
          <w:sz w:val="24"/>
          <w:szCs w:val="24"/>
        </w:rPr>
        <w:t xml:space="preserve">The plan wants to make transit the preferred travel option for as many citizens as possible. The plan must focus not just on how transit operates, but how it is perceived. Features that make “transit more attractive, such as clean stations, modern transit </w:t>
      </w:r>
      <w:r>
        <w:rPr>
          <w:rFonts w:ascii="Times New Roman" w:eastAsia="Times New Roman" w:hAnsi="Times New Roman" w:cs="Times New Roman"/>
          <w:sz w:val="24"/>
          <w:szCs w:val="24"/>
        </w:rPr>
        <w:t xml:space="preserve">vehicles, clear information, and easy pedestrian access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Chicago</w:t>
      </w:r>
      <w:proofErr w:type="gramEnd"/>
      <w:r>
        <w:rPr>
          <w:rFonts w:ascii="Times New Roman" w:eastAsia="Times New Roman" w:hAnsi="Times New Roman" w:cs="Times New Roman"/>
          <w:sz w:val="24"/>
          <w:szCs w:val="24"/>
          <w:highlight w:val="white"/>
        </w:rPr>
        <w:t xml:space="preserve"> Metropolitan Planning Organization, 2011, </w:t>
      </w:r>
      <w:r>
        <w:rPr>
          <w:rFonts w:ascii="Times New Roman" w:eastAsia="Times New Roman" w:hAnsi="Times New Roman" w:cs="Times New Roman"/>
          <w:sz w:val="24"/>
          <w:szCs w:val="24"/>
        </w:rPr>
        <w:t xml:space="preserve">p. 19).” </w:t>
      </w:r>
    </w:p>
    <w:p w:rsidR="004D3C96" w:rsidRDefault="004D3C96"/>
    <w:p w:rsidR="004D3C96" w:rsidRDefault="009C0671">
      <w:r>
        <w:rPr>
          <w:rFonts w:ascii="Times New Roman" w:eastAsia="Times New Roman" w:hAnsi="Times New Roman" w:cs="Times New Roman"/>
          <w:sz w:val="24"/>
          <w:szCs w:val="24"/>
        </w:rPr>
        <w:t>The plan focuses on four implementation areas for increasing commitment to public transit:</w:t>
      </w:r>
    </w:p>
    <w:p w:rsidR="004D3C96" w:rsidRDefault="009C067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Fiscal Health of Transit</w:t>
      </w:r>
    </w:p>
    <w:p w:rsidR="004D3C96" w:rsidRDefault="009C0671">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 incr</w:t>
      </w:r>
      <w:r>
        <w:rPr>
          <w:rFonts w:ascii="Times New Roman" w:eastAsia="Times New Roman" w:hAnsi="Times New Roman" w:cs="Times New Roman"/>
          <w:sz w:val="24"/>
          <w:szCs w:val="24"/>
        </w:rPr>
        <w:t>eases must be managed and additional revenue sources should be found</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RTA efforts on financial oversight</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 a portion of congestion/parking pricing revenues to transit</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other innovative funding sources </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Revise the federal “New Starts” program for transit</w:t>
      </w:r>
    </w:p>
    <w:p w:rsidR="004D3C96" w:rsidRDefault="009C067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Modernize the Region’s Transit System</w:t>
      </w:r>
    </w:p>
    <w:p w:rsidR="004D3C96" w:rsidRDefault="009C0671">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expansion of the current system is needed to match changing patterns of where people live and work. The CMAP supports the expansion of the region’s bus system.</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ocus investments on maintenance and modernization</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 best practices in new technologies </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Widely implement traveler information systems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user perception in vehicle purchases, and station design</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seamless coordination between modes</w:t>
      </w:r>
    </w:p>
    <w:p w:rsidR="004D3C96" w:rsidRDefault="004D3C96">
      <w:pPr>
        <w:ind w:left="1440"/>
      </w:pPr>
    </w:p>
    <w:p w:rsidR="004D3C96" w:rsidRDefault="009C067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Pursu</w:t>
      </w:r>
      <w:r>
        <w:rPr>
          <w:rFonts w:ascii="Times New Roman" w:eastAsia="Times New Roman" w:hAnsi="Times New Roman" w:cs="Times New Roman"/>
          <w:sz w:val="24"/>
          <w:szCs w:val="24"/>
        </w:rPr>
        <w:t>e High-Priority Projects</w:t>
      </w:r>
    </w:p>
    <w:p w:rsidR="004D3C96" w:rsidRDefault="009C0671">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 focus on high-priority transportation projects that include a balance of transit, highway, and multimodal projects, distributed throughout the region. </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Prioritize among potential bus service increases, extensions, and ne</w:t>
      </w:r>
      <w:r>
        <w:rPr>
          <w:rFonts w:ascii="Times New Roman" w:eastAsia="Times New Roman" w:hAnsi="Times New Roman" w:cs="Times New Roman"/>
          <w:sz w:val="24"/>
          <w:szCs w:val="24"/>
        </w:rPr>
        <w:t>w service using regionally consistent criteria</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transit components as part of major highway capital projects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high-priority transit projects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detailed studies of prioritized corridors, and continually develop and evaluate major projects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evaluation measures and decision-making processes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federal investment in high-speed rail</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 high-speed rail with regional transit and l</w:t>
      </w:r>
      <w:r>
        <w:rPr>
          <w:rFonts w:ascii="Times New Roman" w:eastAsia="Times New Roman" w:hAnsi="Times New Roman" w:cs="Times New Roman"/>
          <w:sz w:val="24"/>
          <w:szCs w:val="24"/>
        </w:rPr>
        <w:t>and use planning</w:t>
      </w:r>
    </w:p>
    <w:p w:rsidR="004D3C96" w:rsidRDefault="004D3C96">
      <w:pPr>
        <w:ind w:left="1440"/>
      </w:pPr>
    </w:p>
    <w:p w:rsidR="004D3C96" w:rsidRDefault="009C067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Supportive Land Use Planning</w:t>
      </w:r>
    </w:p>
    <w:p w:rsidR="004D3C96" w:rsidRDefault="009C0671">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Transit expansion efforts should include land use planning, local infrastructure investments that seek to create a transit-friendly environment.</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Align funding for planning and ordinance updates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w:t>
      </w:r>
      <w:r>
        <w:rPr>
          <w:rFonts w:ascii="Times New Roman" w:eastAsia="Times New Roman" w:hAnsi="Times New Roman" w:cs="Times New Roman"/>
          <w:sz w:val="24"/>
          <w:szCs w:val="24"/>
        </w:rPr>
        <w:t>y and exploit additional opportunities for transit oriented development</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livability principles to plan for land use in development near transit </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land use specifically around major transit capital projects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land use specifically around B</w:t>
      </w:r>
      <w:r>
        <w:rPr>
          <w:rFonts w:ascii="Times New Roman" w:eastAsia="Times New Roman" w:hAnsi="Times New Roman" w:cs="Times New Roman"/>
          <w:sz w:val="24"/>
          <w:szCs w:val="24"/>
        </w:rPr>
        <w:t>RT projects</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housing affordability near transit </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Require supportive land use planning before new transit investment is made</w:t>
      </w:r>
    </w:p>
    <w:p w:rsidR="004D3C96" w:rsidRDefault="009C0671">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 guidelines for transit-supportive land use</w:t>
      </w:r>
    </w:p>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9C0671">
      <w:r>
        <w:rPr>
          <w:rFonts w:ascii="Times New Roman" w:eastAsia="Times New Roman" w:hAnsi="Times New Roman" w:cs="Times New Roman"/>
          <w:b/>
          <w:sz w:val="24"/>
          <w:szCs w:val="24"/>
        </w:rPr>
        <w:t>The Benefits</w:t>
      </w:r>
    </w:p>
    <w:p w:rsidR="004D3C96" w:rsidRDefault="004D3C96"/>
    <w:p w:rsidR="004D3C96" w:rsidRDefault="009C0671">
      <w:pPr>
        <w:spacing w:line="480" w:lineRule="auto"/>
      </w:pPr>
      <w:r>
        <w:rPr>
          <w:rFonts w:ascii="Times New Roman" w:eastAsia="Times New Roman" w:hAnsi="Times New Roman" w:cs="Times New Roman"/>
          <w:sz w:val="24"/>
          <w:szCs w:val="24"/>
        </w:rPr>
        <w:t>A strong public transit system provides many benefits to the region including: economic, environmental, quality of life, and public health benefits. The primary economic benefits of transit comes through the additional mobility it permits- residents have m</w:t>
      </w:r>
      <w:r>
        <w:rPr>
          <w:rFonts w:ascii="Times New Roman" w:eastAsia="Times New Roman" w:hAnsi="Times New Roman" w:cs="Times New Roman"/>
          <w:sz w:val="24"/>
          <w:szCs w:val="24"/>
        </w:rPr>
        <w:t>ore choices on where they live, work, and how they travel and can avoid harmful effects of congestion. Money invested in public transportation has the potential for a greater return on investment in the region.</w:t>
      </w:r>
    </w:p>
    <w:p w:rsidR="004D3C96" w:rsidRDefault="009C0671">
      <w:pPr>
        <w:spacing w:line="480" w:lineRule="auto"/>
      </w:pPr>
      <w:r>
        <w:rPr>
          <w:rFonts w:ascii="Times New Roman" w:eastAsia="Times New Roman" w:hAnsi="Times New Roman" w:cs="Times New Roman"/>
          <w:sz w:val="24"/>
          <w:szCs w:val="24"/>
        </w:rPr>
        <w:t>Transit creates environmental benefits becaus</w:t>
      </w:r>
      <w:r>
        <w:rPr>
          <w:rFonts w:ascii="Times New Roman" w:eastAsia="Times New Roman" w:hAnsi="Times New Roman" w:cs="Times New Roman"/>
          <w:sz w:val="24"/>
          <w:szCs w:val="24"/>
        </w:rPr>
        <w:t>e it reduces emissions of pollutants and greenhouse gases. Public transportation uses half the amount of fuel/per passenger mile as private vehicles and shifts petroleum usage to electricity. Transit increases the quality of life by increasing the values o</w:t>
      </w:r>
      <w:r>
        <w:rPr>
          <w:rFonts w:ascii="Times New Roman" w:eastAsia="Times New Roman" w:hAnsi="Times New Roman" w:cs="Times New Roman"/>
          <w:sz w:val="24"/>
          <w:szCs w:val="24"/>
        </w:rPr>
        <w:t>f nearby land and supports non-motorized transportation systems as most transit trips begin or end with walking or biking, and improved walking and biking systems are linked with positive health outcomes.</w:t>
      </w:r>
    </w:p>
    <w:p w:rsidR="004D3C96" w:rsidRDefault="004D3C96"/>
    <w:p w:rsidR="004D3C96" w:rsidRDefault="009C0671">
      <w:r>
        <w:rPr>
          <w:rFonts w:ascii="Times New Roman" w:eastAsia="Times New Roman" w:hAnsi="Times New Roman" w:cs="Times New Roman"/>
          <w:b/>
          <w:sz w:val="24"/>
          <w:szCs w:val="24"/>
        </w:rPr>
        <w:t>Capital Investment</w:t>
      </w:r>
    </w:p>
    <w:p w:rsidR="004D3C96" w:rsidRDefault="004D3C96"/>
    <w:p w:rsidR="004D3C96" w:rsidRDefault="009C0671">
      <w:pPr>
        <w:spacing w:line="480" w:lineRule="auto"/>
        <w:ind w:firstLine="720"/>
      </w:pPr>
      <w:r>
        <w:rPr>
          <w:rFonts w:ascii="Times New Roman" w:eastAsia="Times New Roman" w:hAnsi="Times New Roman" w:cs="Times New Roman"/>
          <w:sz w:val="24"/>
          <w:szCs w:val="24"/>
        </w:rPr>
        <w:t>Major capital projects that ha</w:t>
      </w:r>
      <w:r>
        <w:rPr>
          <w:rFonts w:ascii="Times New Roman" w:eastAsia="Times New Roman" w:hAnsi="Times New Roman" w:cs="Times New Roman"/>
          <w:sz w:val="24"/>
          <w:szCs w:val="24"/>
        </w:rPr>
        <w:t>ve been evaluated to meet significant regional needs and which should have sufficient funds available, are included in a list of Fiscally Constrained Projects. While their costs are substantial, they represent less than three percent of the region’s projec</w:t>
      </w:r>
      <w:r>
        <w:rPr>
          <w:rFonts w:ascii="Times New Roman" w:eastAsia="Times New Roman" w:hAnsi="Times New Roman" w:cs="Times New Roman"/>
          <w:sz w:val="24"/>
          <w:szCs w:val="24"/>
        </w:rPr>
        <w:t>ted $385 billion available for transportation through 2040, with 97 percent going to maintenance and modernization. The graphic below details the expected revenues for transportation from the federal, state, and local level.</w:t>
      </w:r>
    </w:p>
    <w:p w:rsidR="004D3C96" w:rsidRDefault="009C0671">
      <w:pPr>
        <w:spacing w:line="480" w:lineRule="auto"/>
        <w:ind w:firstLine="720"/>
      </w:pPr>
      <w:r>
        <w:rPr>
          <w:rFonts w:ascii="Times New Roman" w:eastAsia="Times New Roman" w:hAnsi="Times New Roman" w:cs="Times New Roman"/>
          <w:sz w:val="24"/>
          <w:szCs w:val="24"/>
        </w:rPr>
        <w:t>Fiscally constrained major capi</w:t>
      </w:r>
      <w:r>
        <w:rPr>
          <w:rFonts w:ascii="Times New Roman" w:eastAsia="Times New Roman" w:hAnsi="Times New Roman" w:cs="Times New Roman"/>
          <w:sz w:val="24"/>
          <w:szCs w:val="24"/>
        </w:rPr>
        <w:t xml:space="preserve">tal projects have the highest priority to move toward completion. They include transit, highway, and multi-modal </w:t>
      </w:r>
      <w:proofErr w:type="spellStart"/>
      <w:r>
        <w:rPr>
          <w:rFonts w:ascii="Times New Roman" w:eastAsia="Times New Roman" w:hAnsi="Times New Roman" w:cs="Times New Roman"/>
          <w:sz w:val="24"/>
          <w:szCs w:val="24"/>
        </w:rPr>
        <w:t>projects.The</w:t>
      </w:r>
      <w:proofErr w:type="spellEnd"/>
      <w:r>
        <w:rPr>
          <w:rFonts w:ascii="Times New Roman" w:eastAsia="Times New Roman" w:hAnsi="Times New Roman" w:cs="Times New Roman"/>
          <w:sz w:val="24"/>
          <w:szCs w:val="24"/>
        </w:rPr>
        <w:t xml:space="preserve"> majority of the high priority projects involve improvements to existing facilities. Topics include:</w:t>
      </w:r>
    </w:p>
    <w:p w:rsidR="004D3C96" w:rsidRDefault="009C0671">
      <w:r>
        <w:rPr>
          <w:rFonts w:ascii="Times New Roman" w:eastAsia="Times New Roman" w:hAnsi="Times New Roman" w:cs="Times New Roman"/>
          <w:sz w:val="24"/>
          <w:szCs w:val="24"/>
        </w:rPr>
        <w:t>New Projects or Extensions</w:t>
      </w:r>
    </w:p>
    <w:p w:rsidR="004D3C96" w:rsidRDefault="009C0671">
      <w:proofErr w:type="gramStart"/>
      <w:r>
        <w:rPr>
          <w:rFonts w:ascii="Times New Roman" w:eastAsia="Times New Roman" w:hAnsi="Times New Roman" w:cs="Times New Roman"/>
          <w:sz w:val="24"/>
          <w:szCs w:val="24"/>
        </w:rPr>
        <w:t>Exp</w:t>
      </w:r>
      <w:r>
        <w:rPr>
          <w:rFonts w:ascii="Times New Roman" w:eastAsia="Times New Roman" w:hAnsi="Times New Roman" w:cs="Times New Roman"/>
          <w:sz w:val="24"/>
          <w:szCs w:val="24"/>
        </w:rPr>
        <w:t>ressway  Additions</w:t>
      </w:r>
      <w:proofErr w:type="gramEnd"/>
      <w:r>
        <w:rPr>
          <w:rFonts w:ascii="Times New Roman" w:eastAsia="Times New Roman" w:hAnsi="Times New Roman" w:cs="Times New Roman"/>
          <w:sz w:val="24"/>
          <w:szCs w:val="24"/>
        </w:rPr>
        <w:t xml:space="preserve"> and Improvements</w:t>
      </w:r>
    </w:p>
    <w:p w:rsidR="004D3C96" w:rsidRDefault="009C0671">
      <w:r>
        <w:rPr>
          <w:rFonts w:ascii="Times New Roman" w:eastAsia="Times New Roman" w:hAnsi="Times New Roman" w:cs="Times New Roman"/>
          <w:sz w:val="24"/>
          <w:szCs w:val="24"/>
        </w:rPr>
        <w:t>Managed Lanes and Multimodal Corridors</w:t>
      </w:r>
    </w:p>
    <w:p w:rsidR="004D3C96" w:rsidRDefault="009C0671">
      <w:r>
        <w:rPr>
          <w:rFonts w:ascii="Times New Roman" w:eastAsia="Times New Roman" w:hAnsi="Times New Roman" w:cs="Times New Roman"/>
          <w:sz w:val="24"/>
          <w:szCs w:val="24"/>
        </w:rPr>
        <w:t>Transit Improvements</w:t>
      </w:r>
      <w:r>
        <w:rPr>
          <w:noProof/>
        </w:rPr>
        <w:drawing>
          <wp:anchor distT="114300" distB="114300" distL="114300" distR="114300" simplePos="0" relativeHeight="251661312" behindDoc="0" locked="0" layoutInCell="0" hidden="0" allowOverlap="0">
            <wp:simplePos x="0" y="0"/>
            <wp:positionH relativeFrom="margin">
              <wp:posOffset>-180974</wp:posOffset>
            </wp:positionH>
            <wp:positionV relativeFrom="paragraph">
              <wp:posOffset>200025</wp:posOffset>
            </wp:positionV>
            <wp:extent cx="6410816" cy="3986213"/>
            <wp:effectExtent l="0" t="0" r="0" b="0"/>
            <wp:wrapSquare wrapText="bothSides" distT="114300" distB="114300" distL="114300" distR="114300"/>
            <wp:docPr id="2" name="image04.png" descr="funding to 2040.png"/>
            <wp:cNvGraphicFramePr/>
            <a:graphic xmlns:a="http://schemas.openxmlformats.org/drawingml/2006/main">
              <a:graphicData uri="http://schemas.openxmlformats.org/drawingml/2006/picture">
                <pic:pic xmlns:pic="http://schemas.openxmlformats.org/drawingml/2006/picture">
                  <pic:nvPicPr>
                    <pic:cNvPr id="0" name="image04.png" descr="funding to 2040.png"/>
                    <pic:cNvPicPr preferRelativeResize="0"/>
                  </pic:nvPicPr>
                  <pic:blipFill>
                    <a:blip r:embed="rId10"/>
                    <a:srcRect/>
                    <a:stretch>
                      <a:fillRect/>
                    </a:stretch>
                  </pic:blipFill>
                  <pic:spPr>
                    <a:xfrm>
                      <a:off x="0" y="0"/>
                      <a:ext cx="6410816" cy="3986213"/>
                    </a:xfrm>
                    <a:prstGeom prst="rect">
                      <a:avLst/>
                    </a:prstGeom>
                    <a:ln/>
                  </pic:spPr>
                </pic:pic>
              </a:graphicData>
            </a:graphic>
          </wp:anchor>
        </w:drawing>
      </w:r>
    </w:p>
    <w:p w:rsidR="004D3C96" w:rsidRDefault="004D3C96"/>
    <w:p w:rsidR="004D3C96" w:rsidRDefault="009C0671">
      <w:r>
        <w:rPr>
          <w:noProof/>
        </w:rPr>
        <w:drawing>
          <wp:anchor distT="114300" distB="114300" distL="114300" distR="114300" simplePos="0" relativeHeight="251662336" behindDoc="0" locked="0" layoutInCell="0" hidden="0" allowOverlap="0">
            <wp:simplePos x="0" y="0"/>
            <wp:positionH relativeFrom="margin">
              <wp:posOffset>3800475</wp:posOffset>
            </wp:positionH>
            <wp:positionV relativeFrom="paragraph">
              <wp:posOffset>4400550</wp:posOffset>
            </wp:positionV>
            <wp:extent cx="2271713" cy="3114731"/>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2271713" cy="3114731"/>
                    </a:xfrm>
                    <a:prstGeom prst="rect">
                      <a:avLst/>
                    </a:prstGeom>
                    <a:ln/>
                  </pic:spPr>
                </pic:pic>
              </a:graphicData>
            </a:graphic>
          </wp:anchor>
        </w:drawing>
      </w:r>
    </w:p>
    <w:p w:rsidR="004D3C96" w:rsidRDefault="009C0671">
      <w:proofErr w:type="gramStart"/>
      <w:r>
        <w:rPr>
          <w:rFonts w:ascii="Times New Roman" w:eastAsia="Times New Roman" w:hAnsi="Times New Roman" w:cs="Times New Roman"/>
          <w:b/>
          <w:sz w:val="24"/>
          <w:szCs w:val="24"/>
        </w:rPr>
        <w:t>case</w:t>
      </w:r>
      <w:proofErr w:type="gramEnd"/>
      <w:r>
        <w:rPr>
          <w:rFonts w:ascii="Times New Roman" w:eastAsia="Times New Roman" w:hAnsi="Times New Roman" w:cs="Times New Roman"/>
          <w:b/>
          <w:sz w:val="24"/>
          <w:szCs w:val="24"/>
        </w:rPr>
        <w:t xml:space="preserve"> studies:</w:t>
      </w:r>
    </w:p>
    <w:p w:rsidR="004D3C96" w:rsidRDefault="004D3C96"/>
    <w:p w:rsidR="004D3C96" w:rsidRDefault="009C0671">
      <w:pPr>
        <w:spacing w:line="480" w:lineRule="auto"/>
        <w:ind w:firstLine="720"/>
      </w:pPr>
      <w:r>
        <w:rPr>
          <w:rFonts w:ascii="Times New Roman" w:eastAsia="Times New Roman" w:hAnsi="Times New Roman" w:cs="Times New Roman"/>
          <w:sz w:val="24"/>
          <w:szCs w:val="24"/>
        </w:rPr>
        <w:t xml:space="preserve">The Chicago Metropolitan Agency for </w:t>
      </w:r>
      <w:proofErr w:type="gramStart"/>
      <w:r>
        <w:rPr>
          <w:rFonts w:ascii="Times New Roman" w:eastAsia="Times New Roman" w:hAnsi="Times New Roman" w:cs="Times New Roman"/>
          <w:sz w:val="24"/>
          <w:szCs w:val="24"/>
        </w:rPr>
        <w:t>Planning  has</w:t>
      </w:r>
      <w:proofErr w:type="gramEnd"/>
      <w:r>
        <w:rPr>
          <w:rFonts w:ascii="Times New Roman" w:eastAsia="Times New Roman" w:hAnsi="Times New Roman" w:cs="Times New Roman"/>
          <w:sz w:val="24"/>
          <w:szCs w:val="24"/>
        </w:rPr>
        <w:t xml:space="preserve"> an interactive and visual infographic on their website for viewers to check out case studies of projects that are in various stages of implementation with links to project details. The case studies are exam</w:t>
      </w:r>
      <w:r>
        <w:rPr>
          <w:rFonts w:ascii="Times New Roman" w:eastAsia="Times New Roman" w:hAnsi="Times New Roman" w:cs="Times New Roman"/>
          <w:sz w:val="24"/>
          <w:szCs w:val="24"/>
        </w:rPr>
        <w:t xml:space="preserve">ples of projects that are based on Go TO 2040 recommendations. These case studies provide examples of best practices that communities can look to for advice on implementing their own projects. </w:t>
      </w:r>
    </w:p>
    <w:p w:rsidR="004D3C96" w:rsidRDefault="009C0671">
      <w:r>
        <w:rPr>
          <w:rFonts w:ascii="Times New Roman" w:eastAsia="Times New Roman" w:hAnsi="Times New Roman" w:cs="Times New Roman"/>
          <w:b/>
          <w:sz w:val="24"/>
          <w:szCs w:val="24"/>
        </w:rPr>
        <w:t>Chicago Forward</w:t>
      </w:r>
    </w:p>
    <w:p w:rsidR="004D3C96" w:rsidRDefault="004D3C96"/>
    <w:p w:rsidR="004D3C96" w:rsidRDefault="009C0671">
      <w:pPr>
        <w:spacing w:line="480" w:lineRule="auto"/>
        <w:ind w:firstLine="720"/>
      </w:pPr>
      <w:r>
        <w:rPr>
          <w:rFonts w:ascii="Times New Roman" w:eastAsia="Times New Roman" w:hAnsi="Times New Roman" w:cs="Times New Roman"/>
          <w:sz w:val="24"/>
          <w:szCs w:val="24"/>
        </w:rPr>
        <w:t>"Chicago Forward", produced by the Department</w:t>
      </w:r>
      <w:r>
        <w:rPr>
          <w:rFonts w:ascii="Times New Roman" w:eastAsia="Times New Roman" w:hAnsi="Times New Roman" w:cs="Times New Roman"/>
          <w:sz w:val="24"/>
          <w:szCs w:val="24"/>
        </w:rPr>
        <w:t xml:space="preserve"> of Transportation (2012) after the production of the GO TO 2040 plan, is consistent with many policies recommended in </w:t>
      </w:r>
      <w:hyperlink r:id="rId12">
        <w:r>
          <w:rPr>
            <w:rFonts w:ascii="Times New Roman" w:eastAsia="Times New Roman" w:hAnsi="Times New Roman" w:cs="Times New Roman"/>
            <w:sz w:val="24"/>
            <w:szCs w:val="24"/>
          </w:rPr>
          <w:t>GO TO 2040</w:t>
        </w:r>
      </w:hyperlink>
      <w:r>
        <w:rPr>
          <w:rFonts w:ascii="Times New Roman" w:eastAsia="Times New Roman" w:hAnsi="Times New Roman" w:cs="Times New Roman"/>
          <w:sz w:val="24"/>
          <w:szCs w:val="24"/>
        </w:rPr>
        <w:t xml:space="preserve">. It is a good example of the stakeholders the GO TO 2040 plan states are </w:t>
      </w:r>
      <w:r>
        <w:rPr>
          <w:rFonts w:ascii="Times New Roman" w:eastAsia="Times New Roman" w:hAnsi="Times New Roman" w:cs="Times New Roman"/>
          <w:sz w:val="24"/>
          <w:szCs w:val="24"/>
        </w:rPr>
        <w:t>responsible for working together to implement the comprehensive regional plan. The Chicago Forward plan includes many themes including “maintaining and modernizing the existing transportation system, promoting alternative modes of transportation, improving</w:t>
      </w:r>
      <w:r>
        <w:rPr>
          <w:rFonts w:ascii="Times New Roman" w:eastAsia="Times New Roman" w:hAnsi="Times New Roman" w:cs="Times New Roman"/>
          <w:sz w:val="24"/>
          <w:szCs w:val="24"/>
        </w:rPr>
        <w:t xml:space="preserve"> public access to information, protecting the natural environment, and enhancing the regional </w:t>
      </w:r>
      <w:proofErr w:type="gramStart"/>
      <w:r>
        <w:rPr>
          <w:rFonts w:ascii="Times New Roman" w:eastAsia="Times New Roman" w:hAnsi="Times New Roman" w:cs="Times New Roman"/>
          <w:sz w:val="24"/>
          <w:szCs w:val="24"/>
        </w:rPr>
        <w:t>economy(</w:t>
      </w:r>
      <w:proofErr w:type="gramEnd"/>
      <w:r>
        <w:rPr>
          <w:rFonts w:ascii="Times New Roman" w:eastAsia="Times New Roman" w:hAnsi="Times New Roman" w:cs="Times New Roman"/>
          <w:sz w:val="24"/>
          <w:szCs w:val="24"/>
        </w:rPr>
        <w:t>Department of Transportation, 2012).” The plan places particular emphasis on supporting bicycle and pedestrian modes. The Chicago Forward plan is consiste</w:t>
      </w:r>
      <w:r>
        <w:rPr>
          <w:rFonts w:ascii="Times New Roman" w:eastAsia="Times New Roman" w:hAnsi="Times New Roman" w:cs="Times New Roman"/>
          <w:sz w:val="24"/>
          <w:szCs w:val="24"/>
        </w:rPr>
        <w:t>nt with GO TO 2040 because of its comprehensive focus and performance measurement.</w:t>
      </w:r>
    </w:p>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4D3C96"/>
    <w:p w:rsidR="004D3C96" w:rsidRDefault="009C0671">
      <w:pPr>
        <w:jc w:val="center"/>
      </w:pPr>
      <w:r>
        <w:rPr>
          <w:rFonts w:ascii="Times New Roman" w:eastAsia="Times New Roman" w:hAnsi="Times New Roman" w:cs="Times New Roman"/>
          <w:b/>
          <w:sz w:val="24"/>
          <w:szCs w:val="24"/>
        </w:rPr>
        <w:t>Works Cited:</w:t>
      </w:r>
    </w:p>
    <w:p w:rsidR="004D3C96" w:rsidRDefault="004D3C96">
      <w:pPr>
        <w:jc w:val="center"/>
      </w:pPr>
    </w:p>
    <w:p w:rsidR="004D3C96" w:rsidRDefault="009C0671">
      <w:r>
        <w:rPr>
          <w:rFonts w:ascii="Times New Roman" w:eastAsia="Times New Roman" w:hAnsi="Times New Roman" w:cs="Times New Roman"/>
          <w:sz w:val="24"/>
          <w:szCs w:val="24"/>
          <w:highlight w:val="white"/>
        </w:rPr>
        <w:t>The author, article title, journal name, issue, year and pages are formatted exactly like the print version. After the pages, list "Web"</w:t>
      </w:r>
      <w:r>
        <w:rPr>
          <w:rFonts w:ascii="Times New Roman" w:eastAsia="Times New Roman" w:hAnsi="Times New Roman" w:cs="Times New Roman"/>
          <w:sz w:val="24"/>
          <w:szCs w:val="24"/>
          <w:highlight w:val="white"/>
        </w:rPr>
        <w:t xml:space="preserve"> without quotation marks. Add a period. Indicate the day, abbreviation of the month and year you accessed the article. </w:t>
      </w:r>
    </w:p>
    <w:p w:rsidR="004D3C96" w:rsidRDefault="004D3C96"/>
    <w:p w:rsidR="004D3C96" w:rsidRDefault="009C0671">
      <w:r>
        <w:rPr>
          <w:rFonts w:ascii="Times New Roman" w:eastAsia="Times New Roman" w:hAnsi="Times New Roman" w:cs="Times New Roman"/>
          <w:sz w:val="24"/>
          <w:szCs w:val="24"/>
          <w:highlight w:val="white"/>
        </w:rPr>
        <w:t xml:space="preserve">Chicago Metropolitan Planning Organization (October 2010). </w:t>
      </w:r>
      <w:r>
        <w:rPr>
          <w:rFonts w:ascii="Times New Roman" w:eastAsia="Times New Roman" w:hAnsi="Times New Roman" w:cs="Times New Roman"/>
          <w:i/>
          <w:sz w:val="24"/>
          <w:szCs w:val="24"/>
          <w:highlight w:val="white"/>
        </w:rPr>
        <w:t>GO TO 2040</w:t>
      </w:r>
      <w:r>
        <w:rPr>
          <w:rFonts w:ascii="Times New Roman" w:eastAsia="Times New Roman" w:hAnsi="Times New Roman" w:cs="Times New Roman"/>
          <w:sz w:val="24"/>
          <w:szCs w:val="24"/>
          <w:highlight w:val="white"/>
        </w:rPr>
        <w:t>. 8 Sept 2015</w:t>
      </w:r>
    </w:p>
    <w:p w:rsidR="004D3C96" w:rsidRDefault="004D3C96"/>
    <w:p w:rsidR="004D3C96" w:rsidRDefault="009C0671">
      <w:r>
        <w:rPr>
          <w:rFonts w:ascii="Times New Roman" w:eastAsia="Times New Roman" w:hAnsi="Times New Roman" w:cs="Times New Roman"/>
          <w:sz w:val="24"/>
          <w:szCs w:val="24"/>
          <w:highlight w:val="white"/>
        </w:rPr>
        <w:t xml:space="preserve">Chicago Metropolitan Planning Organization (2011). </w:t>
      </w:r>
      <w:r>
        <w:rPr>
          <w:rFonts w:ascii="Times New Roman" w:eastAsia="Times New Roman" w:hAnsi="Times New Roman" w:cs="Times New Roman"/>
          <w:i/>
          <w:sz w:val="24"/>
          <w:szCs w:val="24"/>
          <w:highlight w:val="white"/>
        </w:rPr>
        <w:t>GO TO 2040 Financial Plan for Transportation</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9 Sept 2015</w:t>
      </w:r>
    </w:p>
    <w:p w:rsidR="004D3C96" w:rsidRDefault="004D3C96"/>
    <w:p w:rsidR="004D3C96" w:rsidRDefault="009C0671">
      <w:r>
        <w:rPr>
          <w:rFonts w:ascii="Times New Roman" w:eastAsia="Times New Roman" w:hAnsi="Times New Roman" w:cs="Times New Roman"/>
          <w:sz w:val="24"/>
          <w:szCs w:val="24"/>
        </w:rPr>
        <w:t xml:space="preserve">Department of Transportation (May 2012). Chicago Forward: </w:t>
      </w:r>
      <w:r>
        <w:rPr>
          <w:rFonts w:ascii="Times New Roman" w:eastAsia="Times New Roman" w:hAnsi="Times New Roman" w:cs="Times New Roman"/>
          <w:i/>
          <w:sz w:val="24"/>
          <w:szCs w:val="24"/>
        </w:rPr>
        <w:t>Action Agenda</w:t>
      </w:r>
      <w:r>
        <w:rPr>
          <w:rFonts w:ascii="Times New Roman" w:eastAsia="Times New Roman" w:hAnsi="Times New Roman" w:cs="Times New Roman"/>
          <w:sz w:val="24"/>
          <w:szCs w:val="24"/>
        </w:rPr>
        <w:t xml:space="preserve">. 8 Sept 2015 </w:t>
      </w:r>
    </w:p>
    <w:p w:rsidR="004D3C96" w:rsidRDefault="004D3C96"/>
    <w:p w:rsidR="004D3C96" w:rsidRDefault="004D3C96"/>
    <w:p w:rsidR="004D3C96" w:rsidRDefault="004D3C96"/>
    <w:sectPr w:rsidR="004D3C96">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0671">
      <w:pPr>
        <w:spacing w:line="240" w:lineRule="auto"/>
      </w:pPr>
      <w:r>
        <w:separator/>
      </w:r>
    </w:p>
  </w:endnote>
  <w:endnote w:type="continuationSeparator" w:id="0">
    <w:p w:rsidR="00000000" w:rsidRDefault="009C0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96" w:rsidRDefault="009C067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0671">
      <w:pPr>
        <w:spacing w:line="240" w:lineRule="auto"/>
      </w:pPr>
      <w:r>
        <w:separator/>
      </w:r>
    </w:p>
  </w:footnote>
  <w:footnote w:type="continuationSeparator" w:id="0">
    <w:p w:rsidR="00000000" w:rsidRDefault="009C06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96" w:rsidRDefault="009C0671">
    <w:pPr>
      <w:jc w:val="center"/>
    </w:pPr>
    <w:r>
      <w:rPr>
        <w:rFonts w:ascii="Times New Roman" w:eastAsia="Times New Roman" w:hAnsi="Times New Roman" w:cs="Times New Roman"/>
        <w:sz w:val="24"/>
        <w:szCs w:val="24"/>
      </w:rPr>
      <w:t>Chicago 2040: A National Case Study of Mobility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6197B"/>
    <w:multiLevelType w:val="multilevel"/>
    <w:tmpl w:val="859AE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CC705DF"/>
    <w:multiLevelType w:val="multilevel"/>
    <w:tmpl w:val="CB0642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6"/>
    <w:rsid w:val="004D3C96"/>
    <w:rsid w:val="009C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85FF5-1AB3-4CBC-8E3A-3C80766F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map.illinois.gov/20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Corban (ecorban)</dc:creator>
  <cp:lastModifiedBy>Emily Corban (ecorban)</cp:lastModifiedBy>
  <cp:revision>2</cp:revision>
  <dcterms:created xsi:type="dcterms:W3CDTF">2015-09-22T21:31:00Z</dcterms:created>
  <dcterms:modified xsi:type="dcterms:W3CDTF">2015-09-22T21:31:00Z</dcterms:modified>
</cp:coreProperties>
</file>